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0D2" w:rsidRDefault="00CA70D2" w:rsidP="00CA70D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388620" cy="571500"/>
            <wp:effectExtent l="0" t="0" r="0" b="0"/>
            <wp:docPr id="1" name="Рисунок 1" descr="профсоюз лого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фсоюз лого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0D2" w:rsidRPr="00881ECA" w:rsidRDefault="00CA70D2" w:rsidP="00CA70D2">
      <w:pPr>
        <w:jc w:val="center"/>
        <w:rPr>
          <w:b/>
          <w:sz w:val="20"/>
          <w:szCs w:val="20"/>
        </w:rPr>
      </w:pPr>
    </w:p>
    <w:p w:rsidR="00CA70D2" w:rsidRPr="00881ECA" w:rsidRDefault="00CA70D2" w:rsidP="00CA70D2">
      <w:pPr>
        <w:jc w:val="center"/>
        <w:rPr>
          <w:b/>
          <w:sz w:val="20"/>
          <w:szCs w:val="20"/>
        </w:rPr>
      </w:pPr>
      <w:r w:rsidRPr="00881ECA">
        <w:rPr>
          <w:b/>
          <w:sz w:val="20"/>
          <w:szCs w:val="20"/>
        </w:rPr>
        <w:t>ПРОФСОЮЗ  РАБОТНИКОВ  НАРОДНОГО ОБРАЗОВАНИЯ И НАУКИ</w:t>
      </w:r>
    </w:p>
    <w:p w:rsidR="00CA70D2" w:rsidRPr="00881ECA" w:rsidRDefault="00CA70D2" w:rsidP="00CA70D2">
      <w:pPr>
        <w:jc w:val="center"/>
        <w:rPr>
          <w:b/>
          <w:sz w:val="20"/>
          <w:szCs w:val="20"/>
        </w:rPr>
      </w:pPr>
      <w:r w:rsidRPr="00881ECA">
        <w:rPr>
          <w:b/>
          <w:sz w:val="20"/>
          <w:szCs w:val="20"/>
        </w:rPr>
        <w:t>РОССИЙСКОЙ  ФЕДЕРАЦИИ</w:t>
      </w:r>
    </w:p>
    <w:p w:rsidR="00CA70D2" w:rsidRPr="00881ECA" w:rsidRDefault="00CA70D2" w:rsidP="00CA70D2">
      <w:pPr>
        <w:jc w:val="center"/>
        <w:rPr>
          <w:b/>
          <w:sz w:val="20"/>
          <w:szCs w:val="20"/>
        </w:rPr>
      </w:pPr>
      <w:r w:rsidRPr="00881ECA">
        <w:rPr>
          <w:b/>
          <w:sz w:val="20"/>
          <w:szCs w:val="20"/>
        </w:rPr>
        <w:t>ХАНТЫ-МАНСИЙСКАЯ  ОКРУЖНАЯ ОРГАНИЗАЦИЯ  ПРОФСОЮЗА  РАБОТНИКОВ  НАРОДНОГО ОБРАЗОВАНИЯ  И НАУКИ</w:t>
      </w:r>
    </w:p>
    <w:p w:rsidR="00CA70D2" w:rsidRPr="00881ECA" w:rsidRDefault="00CA70D2" w:rsidP="00CA70D2">
      <w:pPr>
        <w:jc w:val="center"/>
        <w:rPr>
          <w:b/>
          <w:sz w:val="20"/>
          <w:szCs w:val="20"/>
        </w:rPr>
      </w:pPr>
      <w:r w:rsidRPr="00881ECA">
        <w:rPr>
          <w:b/>
          <w:sz w:val="20"/>
          <w:szCs w:val="20"/>
        </w:rPr>
        <w:t>РОССИЙСКОЙ  ФЕДЕРАЦИИ</w:t>
      </w:r>
    </w:p>
    <w:p w:rsidR="00CA70D2" w:rsidRPr="00881ECA" w:rsidRDefault="00CA70D2" w:rsidP="00CA70D2">
      <w:pPr>
        <w:jc w:val="center"/>
        <w:rPr>
          <w:sz w:val="20"/>
          <w:szCs w:val="20"/>
        </w:rPr>
      </w:pPr>
    </w:p>
    <w:p w:rsidR="00CA70D2" w:rsidRPr="00881ECA" w:rsidRDefault="00CA70D2" w:rsidP="00CA70D2">
      <w:pPr>
        <w:rPr>
          <w:bCs/>
          <w:sz w:val="20"/>
          <w:szCs w:val="20"/>
        </w:rPr>
      </w:pPr>
      <w:r w:rsidRPr="00881ECA">
        <w:rPr>
          <w:bCs/>
          <w:sz w:val="20"/>
          <w:szCs w:val="20"/>
        </w:rPr>
        <w:t>628011 ХМАО-Югры,</w:t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  <w:t xml:space="preserve">        телефон/факс (3467) 33 09 16</w:t>
      </w:r>
    </w:p>
    <w:p w:rsidR="00CA70D2" w:rsidRPr="00881ECA" w:rsidRDefault="00CA70D2" w:rsidP="00CA70D2">
      <w:pPr>
        <w:rPr>
          <w:bCs/>
          <w:sz w:val="20"/>
          <w:szCs w:val="20"/>
        </w:rPr>
      </w:pPr>
      <w:r w:rsidRPr="00881ECA">
        <w:rPr>
          <w:bCs/>
          <w:sz w:val="20"/>
          <w:szCs w:val="20"/>
        </w:rPr>
        <w:t xml:space="preserve">г. Ханты-Мансийск          </w:t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  <w:t xml:space="preserve">        ИНН 8601010488                        </w:t>
      </w:r>
    </w:p>
    <w:p w:rsidR="00CA70D2" w:rsidRPr="00881ECA" w:rsidRDefault="00CA70D2" w:rsidP="00CA70D2">
      <w:pPr>
        <w:rPr>
          <w:bCs/>
          <w:sz w:val="20"/>
          <w:szCs w:val="20"/>
        </w:rPr>
      </w:pPr>
      <w:r w:rsidRPr="00881ECA">
        <w:rPr>
          <w:bCs/>
          <w:sz w:val="20"/>
          <w:szCs w:val="20"/>
        </w:rPr>
        <w:t>ул. Чехова, 12</w:t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</w:r>
      <w:r w:rsidRPr="00881ECA">
        <w:rPr>
          <w:bCs/>
          <w:sz w:val="20"/>
          <w:szCs w:val="20"/>
        </w:rPr>
        <w:tab/>
        <w:t xml:space="preserve">        эл. адрес: </w:t>
      </w:r>
      <w:proofErr w:type="spellStart"/>
      <w:r w:rsidRPr="00881ECA">
        <w:rPr>
          <w:bCs/>
          <w:sz w:val="20"/>
          <w:szCs w:val="20"/>
          <w:lang w:val="en-US"/>
        </w:rPr>
        <w:t>profsoyuz</w:t>
      </w:r>
      <w:proofErr w:type="spellEnd"/>
      <w:r w:rsidRPr="00881ECA">
        <w:rPr>
          <w:bCs/>
          <w:sz w:val="20"/>
          <w:szCs w:val="20"/>
        </w:rPr>
        <w:t>.</w:t>
      </w:r>
      <w:proofErr w:type="spellStart"/>
      <w:r w:rsidRPr="00881ECA">
        <w:rPr>
          <w:bCs/>
          <w:sz w:val="20"/>
          <w:szCs w:val="20"/>
          <w:lang w:val="en-US"/>
        </w:rPr>
        <w:t>yugra</w:t>
      </w:r>
      <w:proofErr w:type="spellEnd"/>
      <w:r w:rsidRPr="00881ECA">
        <w:rPr>
          <w:bCs/>
          <w:sz w:val="20"/>
          <w:szCs w:val="20"/>
        </w:rPr>
        <w:t>@</w:t>
      </w:r>
      <w:r w:rsidRPr="00881ECA">
        <w:rPr>
          <w:bCs/>
          <w:sz w:val="20"/>
          <w:szCs w:val="20"/>
          <w:lang w:val="en-US"/>
        </w:rPr>
        <w:t>mail</w:t>
      </w:r>
      <w:r w:rsidRPr="00881ECA">
        <w:rPr>
          <w:bCs/>
          <w:sz w:val="20"/>
          <w:szCs w:val="20"/>
        </w:rPr>
        <w:t>.</w:t>
      </w:r>
      <w:proofErr w:type="spellStart"/>
      <w:r w:rsidRPr="00881ECA">
        <w:rPr>
          <w:bCs/>
          <w:sz w:val="20"/>
          <w:szCs w:val="20"/>
          <w:lang w:val="en-US"/>
        </w:rPr>
        <w:t>ru</w:t>
      </w:r>
      <w:proofErr w:type="spellEnd"/>
    </w:p>
    <w:p w:rsidR="00CA70D2" w:rsidRPr="00881ECA" w:rsidRDefault="00CA70D2" w:rsidP="00CA70D2">
      <w:pPr>
        <w:pBdr>
          <w:bottom w:val="doub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10490"/>
        </w:tabs>
        <w:rPr>
          <w:i/>
          <w:sz w:val="20"/>
          <w:szCs w:val="20"/>
        </w:rPr>
      </w:pPr>
    </w:p>
    <w:p w:rsidR="00CA70D2" w:rsidRDefault="00CA70D2" w:rsidP="00CA70D2">
      <w:pPr>
        <w:jc w:val="center"/>
        <w:rPr>
          <w:b/>
          <w:i/>
        </w:rPr>
      </w:pPr>
    </w:p>
    <w:p w:rsidR="00CA70D2" w:rsidRDefault="001C475F" w:rsidP="00CA70D2">
      <w:r>
        <w:t xml:space="preserve">№ 280 </w:t>
      </w:r>
      <w:r w:rsidR="00CA70D2">
        <w:tab/>
      </w:r>
      <w:r w:rsidR="00CA70D2">
        <w:tab/>
      </w:r>
      <w:r w:rsidR="00CA70D2">
        <w:tab/>
        <w:t xml:space="preserve">                                   </w:t>
      </w:r>
      <w:r>
        <w:t xml:space="preserve">                           «30»  марта </w:t>
      </w:r>
      <w:r w:rsidR="00CA70D2">
        <w:t>2016г.</w:t>
      </w:r>
    </w:p>
    <w:p w:rsidR="00CA70D2" w:rsidRDefault="00CA70D2" w:rsidP="00CA70D2"/>
    <w:p w:rsidR="00EA2E93" w:rsidRPr="004B6836" w:rsidRDefault="00EA2E93" w:rsidP="00060768">
      <w:pPr>
        <w:ind w:left="5245"/>
        <w:rPr>
          <w:sz w:val="28"/>
          <w:szCs w:val="28"/>
        </w:rPr>
      </w:pPr>
      <w:r w:rsidRPr="004B6836">
        <w:rPr>
          <w:sz w:val="28"/>
          <w:szCs w:val="28"/>
        </w:rPr>
        <w:t xml:space="preserve">Председателю Комитета по социальной политике Думы </w:t>
      </w:r>
    </w:p>
    <w:p w:rsidR="00EA2E93" w:rsidRPr="004B6836" w:rsidRDefault="00EA2E93" w:rsidP="00060768">
      <w:pPr>
        <w:ind w:left="5245"/>
        <w:rPr>
          <w:sz w:val="28"/>
          <w:szCs w:val="28"/>
        </w:rPr>
      </w:pPr>
      <w:r w:rsidRPr="004B6836">
        <w:rPr>
          <w:sz w:val="28"/>
          <w:szCs w:val="28"/>
        </w:rPr>
        <w:t xml:space="preserve">Ханты-Мансийского автономного </w:t>
      </w:r>
    </w:p>
    <w:p w:rsidR="00EA2E93" w:rsidRPr="004B6836" w:rsidRDefault="00EA2E93" w:rsidP="00060768">
      <w:pPr>
        <w:ind w:left="5245"/>
        <w:rPr>
          <w:sz w:val="28"/>
          <w:szCs w:val="28"/>
        </w:rPr>
      </w:pPr>
      <w:r w:rsidRPr="004B6836">
        <w:rPr>
          <w:sz w:val="28"/>
          <w:szCs w:val="28"/>
        </w:rPr>
        <w:t xml:space="preserve">округа – Югры </w:t>
      </w:r>
    </w:p>
    <w:p w:rsidR="00702EBB" w:rsidRPr="004B6836" w:rsidRDefault="00EA2E93" w:rsidP="00060768">
      <w:pPr>
        <w:ind w:left="5245"/>
        <w:rPr>
          <w:sz w:val="28"/>
          <w:szCs w:val="28"/>
        </w:rPr>
      </w:pPr>
      <w:r w:rsidRPr="004B6836">
        <w:rPr>
          <w:sz w:val="28"/>
          <w:szCs w:val="28"/>
        </w:rPr>
        <w:t>Н.Л. Западновой</w:t>
      </w:r>
      <w:r w:rsidR="00702EBB" w:rsidRPr="004B6836">
        <w:rPr>
          <w:sz w:val="28"/>
          <w:szCs w:val="28"/>
        </w:rPr>
        <w:t xml:space="preserve"> </w:t>
      </w:r>
    </w:p>
    <w:p w:rsidR="00060768" w:rsidRDefault="00060768" w:rsidP="00060768">
      <w:pPr>
        <w:ind w:left="4111"/>
      </w:pPr>
    </w:p>
    <w:p w:rsidR="00CA70D2" w:rsidRDefault="00EA2E93" w:rsidP="00CA7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Уважаемая</w:t>
      </w:r>
      <w:r w:rsidR="000607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Наталья Леонидовна</w:t>
      </w:r>
      <w:r w:rsidR="00060768">
        <w:rPr>
          <w:b/>
          <w:sz w:val="28"/>
          <w:szCs w:val="28"/>
        </w:rPr>
        <w:t>!</w:t>
      </w:r>
    </w:p>
    <w:p w:rsidR="00060768" w:rsidRDefault="00060768" w:rsidP="00060768">
      <w:pPr>
        <w:ind w:firstLine="709"/>
        <w:rPr>
          <w:sz w:val="28"/>
          <w:szCs w:val="28"/>
        </w:rPr>
      </w:pPr>
    </w:p>
    <w:p w:rsidR="00EA2E93" w:rsidRDefault="00EA2E93" w:rsidP="00521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Вашим запросом от 18.03.2016 г. №14 сообщаем, что присутствовать на депутатских слушаниях на тему «Актуальные вопросы реализации федерального законодательства и законодательства Ханты-Мансийского автономного округа – Югры. </w:t>
      </w:r>
      <w:proofErr w:type="gramStart"/>
      <w:r>
        <w:rPr>
          <w:sz w:val="28"/>
          <w:szCs w:val="28"/>
        </w:rPr>
        <w:t xml:space="preserve">Перспективы развития государственной молодежной политики в Ханты-Мансийском автономном округе – Югре» </w:t>
      </w:r>
      <w:r w:rsidR="00D83840">
        <w:rPr>
          <w:sz w:val="28"/>
          <w:szCs w:val="28"/>
        </w:rPr>
        <w:t xml:space="preserve"> по объективным причинам </w:t>
      </w:r>
      <w:r>
        <w:rPr>
          <w:sz w:val="28"/>
          <w:szCs w:val="28"/>
        </w:rPr>
        <w:t>не представляется возможным.</w:t>
      </w:r>
      <w:proofErr w:type="gramEnd"/>
    </w:p>
    <w:p w:rsidR="00EA2E93" w:rsidRDefault="00EA2E93" w:rsidP="00521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направляем Вам вопросы и предложения для рассмотрения на депутатских слушаниях по озвученной </w:t>
      </w:r>
      <w:r w:rsidR="00673341">
        <w:rPr>
          <w:sz w:val="28"/>
          <w:szCs w:val="28"/>
        </w:rPr>
        <w:t>тематике</w:t>
      </w:r>
      <w:r>
        <w:rPr>
          <w:sz w:val="28"/>
          <w:szCs w:val="28"/>
        </w:rPr>
        <w:t>.</w:t>
      </w:r>
    </w:p>
    <w:p w:rsidR="00673341" w:rsidRPr="0089003B" w:rsidRDefault="00673341" w:rsidP="00521257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673341">
        <w:rPr>
          <w:sz w:val="28"/>
          <w:szCs w:val="28"/>
        </w:rPr>
        <w:t xml:space="preserve">Предлагаем </w:t>
      </w:r>
      <w:r>
        <w:rPr>
          <w:sz w:val="28"/>
          <w:szCs w:val="28"/>
        </w:rPr>
        <w:t>рассмотреть</w:t>
      </w:r>
      <w:r w:rsidRPr="00673341">
        <w:rPr>
          <w:sz w:val="28"/>
          <w:szCs w:val="28"/>
        </w:rPr>
        <w:t xml:space="preserve"> вопрос о внесении изменений в методику нормативного финансирования  образовательных организаций, расположенных в посёлках </w:t>
      </w:r>
      <w:r w:rsidRPr="00E1200E">
        <w:rPr>
          <w:sz w:val="28"/>
          <w:szCs w:val="28"/>
        </w:rPr>
        <w:t>городского типа автономного округа с населением менее 10</w:t>
      </w:r>
      <w:r w:rsidR="0089003B" w:rsidRPr="00E1200E">
        <w:rPr>
          <w:sz w:val="28"/>
          <w:szCs w:val="28"/>
        </w:rPr>
        <w:t xml:space="preserve"> </w:t>
      </w:r>
      <w:r w:rsidRPr="00E1200E">
        <w:rPr>
          <w:sz w:val="28"/>
          <w:szCs w:val="28"/>
        </w:rPr>
        <w:t>000 человек и применения к таким образовательным организациям методики финансирования для образовательных организаций, расположенных в  сельской местности.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 xml:space="preserve">Установленной методикой </w:t>
      </w:r>
      <w:proofErr w:type="spellStart"/>
      <w:r w:rsidRPr="00673341">
        <w:rPr>
          <w:sz w:val="28"/>
          <w:szCs w:val="28"/>
        </w:rPr>
        <w:t>подушевого</w:t>
      </w:r>
      <w:proofErr w:type="spellEnd"/>
      <w:r w:rsidRPr="00673341">
        <w:rPr>
          <w:sz w:val="28"/>
          <w:szCs w:val="28"/>
        </w:rPr>
        <w:t xml:space="preserve"> финансирования в образовательных учреждениях</w:t>
      </w:r>
      <w:r w:rsidR="009C61A1">
        <w:rPr>
          <w:sz w:val="28"/>
          <w:szCs w:val="28"/>
        </w:rPr>
        <w:t xml:space="preserve"> (организациях) </w:t>
      </w:r>
      <w:r w:rsidRPr="00673341">
        <w:rPr>
          <w:sz w:val="28"/>
          <w:szCs w:val="28"/>
        </w:rPr>
        <w:t xml:space="preserve"> предусмотрены  нормативы наполняемости классов (групп):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 xml:space="preserve">в городских населённых пунктах, к которым относятся поселки городского типа, в количестве 25 учащихся, 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в сельских населенных пунктах в количестве 16 учащихся.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В последние годы в посёлках городского типа наблюдается сокращение населения в связи с переездом в другие территории, старение населения, что влияет на рождаемость детей и,  как следствие,  сокращение количества детей (учащихся) в образовательных учреждениях.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 xml:space="preserve">Более трети населения  поселков городского типа составляют пенсионеры и дети.  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lastRenderedPageBreak/>
        <w:t>Как следствие озвученной ситуации, возникают проблемы в комплектовании классов (групп) согласно нормативу городских школ, что отражается на финансировании образовательных  организаций.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В связи с сокращением численности учащихся работодатели вынуждены принимать меры по оптимизации затрат и проведению мероприятий по сокращению штатной численности работников образовательных организаций, что влечет за собой увольнение работников,  увеличение уровня безработицы, рост социальной напряжённости.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Также существует проблема оттока высококвалифицированных педагогических кадров и молодых специалистов из образовательных организаций, расположенных в небольших поселках городского типа. Так</w:t>
      </w:r>
      <w:r w:rsidR="009C61A1">
        <w:rPr>
          <w:sz w:val="28"/>
          <w:szCs w:val="28"/>
        </w:rPr>
        <w:t>и</w:t>
      </w:r>
      <w:r w:rsidR="00EB558B">
        <w:rPr>
          <w:sz w:val="28"/>
          <w:szCs w:val="28"/>
        </w:rPr>
        <w:t>е работники  делают свой выбор</w:t>
      </w:r>
      <w:r w:rsidRPr="00673341">
        <w:rPr>
          <w:sz w:val="28"/>
          <w:szCs w:val="28"/>
        </w:rPr>
        <w:t xml:space="preserve"> в пользу </w:t>
      </w:r>
      <w:r w:rsidR="00C67D1E">
        <w:rPr>
          <w:sz w:val="28"/>
          <w:szCs w:val="28"/>
        </w:rPr>
        <w:t>образовательных организаций</w:t>
      </w:r>
      <w:r w:rsidRPr="00673341">
        <w:rPr>
          <w:sz w:val="28"/>
          <w:szCs w:val="28"/>
        </w:rPr>
        <w:t xml:space="preserve">, расположенных в </w:t>
      </w:r>
      <w:proofErr w:type="gramStart"/>
      <w:r w:rsidRPr="00673341">
        <w:rPr>
          <w:sz w:val="28"/>
          <w:szCs w:val="28"/>
        </w:rPr>
        <w:t>городах</w:t>
      </w:r>
      <w:proofErr w:type="gramEnd"/>
      <w:r w:rsidRPr="00673341">
        <w:rPr>
          <w:sz w:val="28"/>
          <w:szCs w:val="28"/>
        </w:rPr>
        <w:t xml:space="preserve"> (городских округах), так как зачастую там расположены крупные градообразующие предприятия, что сказывается и на развитии социальной сферы. Также в последнее время участилась практика, когда педагоги уходят работать в образовательные организации, расположенные в сельской местности, поскольку заработная плата с учетом повышающих коэффициентов </w:t>
      </w:r>
      <w:r w:rsidR="00EB558B">
        <w:rPr>
          <w:sz w:val="28"/>
          <w:szCs w:val="28"/>
        </w:rPr>
        <w:t>там</w:t>
      </w:r>
      <w:bookmarkStart w:id="0" w:name="_GoBack"/>
      <w:bookmarkEnd w:id="0"/>
      <w:r w:rsidR="006E2B2B">
        <w:rPr>
          <w:sz w:val="28"/>
          <w:szCs w:val="28"/>
        </w:rPr>
        <w:t xml:space="preserve"> </w:t>
      </w:r>
      <w:r w:rsidRPr="00673341">
        <w:rPr>
          <w:sz w:val="28"/>
          <w:szCs w:val="28"/>
        </w:rPr>
        <w:t xml:space="preserve">выше, чем в образовательных организациях, расположенных в поселках городского типа. 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Сложная транспортная схема, удалённость от крупных культурных центров  ставят в неравное положение педагогических работников  маленьких посёлков городского типа с  коллегами не только из городов, но и из сельской местности.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Ожидаемый социально-экономический эффект от реализации озвученной законодательной инициативы: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сохранение рабочих мест не только педагогических работников, но и иных работников образовательных организаций таких населенных пунктов;</w:t>
      </w:r>
    </w:p>
    <w:p w:rsidR="00673341" w:rsidRP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привлечение молодых и высококвалифицированных специалистов в образовательные учреждения</w:t>
      </w:r>
      <w:r w:rsidR="00650891">
        <w:rPr>
          <w:sz w:val="28"/>
          <w:szCs w:val="28"/>
        </w:rPr>
        <w:t xml:space="preserve"> (организации) </w:t>
      </w:r>
      <w:r w:rsidRPr="00673341">
        <w:rPr>
          <w:sz w:val="28"/>
          <w:szCs w:val="28"/>
        </w:rPr>
        <w:t xml:space="preserve"> посёлков городского типа:</w:t>
      </w:r>
    </w:p>
    <w:p w:rsidR="00673341" w:rsidRDefault="00673341" w:rsidP="00521257">
      <w:pPr>
        <w:ind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>снижение социальной напряжённости.</w:t>
      </w:r>
    </w:p>
    <w:p w:rsidR="00673341" w:rsidRPr="001152D2" w:rsidRDefault="001152D2" w:rsidP="00521257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Подпунктом 6 пункта 5 статьи 47 Федерального</w:t>
      </w:r>
      <w:r w:rsidR="00673341">
        <w:rPr>
          <w:sz w:val="28"/>
          <w:szCs w:val="28"/>
        </w:rPr>
        <w:t xml:space="preserve"> з</w:t>
      </w:r>
      <w:r>
        <w:rPr>
          <w:sz w:val="28"/>
          <w:szCs w:val="28"/>
        </w:rPr>
        <w:t>акона</w:t>
      </w:r>
      <w:r w:rsidR="00673341" w:rsidRPr="00673341">
        <w:rPr>
          <w:sz w:val="28"/>
          <w:szCs w:val="28"/>
        </w:rPr>
        <w:t xml:space="preserve"> «Об образовании в Р</w:t>
      </w:r>
      <w:r w:rsidR="00673341">
        <w:rPr>
          <w:sz w:val="28"/>
          <w:szCs w:val="28"/>
        </w:rPr>
        <w:t xml:space="preserve">оссийской </w:t>
      </w:r>
      <w:r w:rsidR="00673341" w:rsidRPr="00673341">
        <w:rPr>
          <w:sz w:val="28"/>
          <w:szCs w:val="28"/>
        </w:rPr>
        <w:t>Ф</w:t>
      </w:r>
      <w:r w:rsidR="00673341">
        <w:rPr>
          <w:sz w:val="28"/>
          <w:szCs w:val="28"/>
        </w:rPr>
        <w:t>едерации</w:t>
      </w:r>
      <w:r w:rsidR="00673341" w:rsidRPr="0067334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установлено </w:t>
      </w:r>
      <w:r w:rsidRPr="001152D2">
        <w:rPr>
          <w:sz w:val="28"/>
          <w:szCs w:val="28"/>
        </w:rPr>
        <w:t xml:space="preserve">право на предоставление педагогическим работникам, состоящим на учете в качестве нуждающихся в жилых помещениях, вне очереди жилых помещений по договорам социального найма, право </w:t>
      </w:r>
      <w:r>
        <w:rPr>
          <w:sz w:val="28"/>
          <w:szCs w:val="28"/>
        </w:rPr>
        <w:t>на предоставление. В настоящее время механизм реализации данного права в Югре не определен, как следствие</w:t>
      </w:r>
      <w:r w:rsidR="00650891">
        <w:rPr>
          <w:sz w:val="28"/>
          <w:szCs w:val="28"/>
        </w:rPr>
        <w:t>,</w:t>
      </w:r>
      <w:r>
        <w:rPr>
          <w:sz w:val="28"/>
          <w:szCs w:val="28"/>
        </w:rPr>
        <w:t xml:space="preserve"> право имеется, но его реализация невозможна</w:t>
      </w:r>
      <w:r w:rsidR="00673341" w:rsidRPr="001152D2">
        <w:rPr>
          <w:sz w:val="28"/>
          <w:szCs w:val="28"/>
        </w:rPr>
        <w:t xml:space="preserve">. </w:t>
      </w:r>
    </w:p>
    <w:p w:rsidR="00673341" w:rsidRPr="001152D2" w:rsidRDefault="00673341" w:rsidP="00521257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73341">
        <w:rPr>
          <w:sz w:val="28"/>
          <w:szCs w:val="28"/>
        </w:rPr>
        <w:t xml:space="preserve">В Российской Федерации до 2020 года предполагается ввести односменные занятия в образовательных организациях, что повлечет за собой увеличение количества педагогических работников. </w:t>
      </w:r>
      <w:r w:rsidRPr="001152D2">
        <w:rPr>
          <w:sz w:val="28"/>
          <w:szCs w:val="28"/>
        </w:rPr>
        <w:t xml:space="preserve">Предлагаем внести в перечень лиц, которым </w:t>
      </w:r>
      <w:r w:rsidR="00F64D81">
        <w:rPr>
          <w:sz w:val="28"/>
          <w:szCs w:val="28"/>
        </w:rPr>
        <w:t>осуществляется</w:t>
      </w:r>
      <w:r w:rsidRPr="001152D2">
        <w:rPr>
          <w:sz w:val="28"/>
          <w:szCs w:val="28"/>
        </w:rPr>
        <w:t xml:space="preserve"> возмещение расходов по найму жилого помещения в размере 50% от предельного объема средств, подлежащих возмещению в течение первых 3</w:t>
      </w:r>
      <w:r w:rsidR="001152D2">
        <w:rPr>
          <w:sz w:val="28"/>
          <w:szCs w:val="28"/>
        </w:rPr>
        <w:t>-</w:t>
      </w:r>
      <w:r w:rsidRPr="001152D2">
        <w:rPr>
          <w:sz w:val="28"/>
          <w:szCs w:val="28"/>
        </w:rPr>
        <w:t>х лет, педагогических работников муниципальных бюджетных (автономных) образовательных организаций.</w:t>
      </w:r>
    </w:p>
    <w:p w:rsidR="001152D2" w:rsidRDefault="001152D2" w:rsidP="00521257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Вопрос о выплатах</w:t>
      </w:r>
      <w:r w:rsidRPr="001152D2">
        <w:rPr>
          <w:sz w:val="28"/>
          <w:szCs w:val="28"/>
        </w:rPr>
        <w:t xml:space="preserve"> </w:t>
      </w:r>
      <w:r w:rsidR="00533A2F">
        <w:rPr>
          <w:sz w:val="28"/>
          <w:szCs w:val="28"/>
        </w:rPr>
        <w:t xml:space="preserve">педагогическим работникам муниципальных образовательных организаций </w:t>
      </w:r>
      <w:r w:rsidRPr="001152D2">
        <w:rPr>
          <w:sz w:val="28"/>
          <w:szCs w:val="28"/>
        </w:rPr>
        <w:t>при прекращении трудовых отношений и выходе на пенсию единовременного денежного вознагра</w:t>
      </w:r>
      <w:r w:rsidR="00053C42">
        <w:rPr>
          <w:sz w:val="28"/>
          <w:szCs w:val="28"/>
        </w:rPr>
        <w:t xml:space="preserve">ждения в размере 25 </w:t>
      </w:r>
      <w:r w:rsidR="00053C42">
        <w:rPr>
          <w:sz w:val="28"/>
          <w:szCs w:val="28"/>
        </w:rPr>
        <w:lastRenderedPageBreak/>
        <w:t xml:space="preserve">произведений </w:t>
      </w:r>
      <w:r w:rsidRPr="001152D2">
        <w:rPr>
          <w:sz w:val="28"/>
          <w:szCs w:val="28"/>
        </w:rPr>
        <w:t xml:space="preserve"> базовой единицы и базового коэффициента без учета районного к</w:t>
      </w:r>
      <w:r>
        <w:rPr>
          <w:sz w:val="28"/>
          <w:szCs w:val="28"/>
        </w:rPr>
        <w:t>оэффициента и северной надбавки в 2016</w:t>
      </w:r>
      <w:r w:rsidR="004C422C">
        <w:rPr>
          <w:sz w:val="28"/>
          <w:szCs w:val="28"/>
        </w:rPr>
        <w:t>г.</w:t>
      </w:r>
      <w:r w:rsidR="00533A2F">
        <w:rPr>
          <w:sz w:val="28"/>
          <w:szCs w:val="28"/>
        </w:rPr>
        <w:t>,</w:t>
      </w:r>
      <w:r>
        <w:rPr>
          <w:sz w:val="28"/>
          <w:szCs w:val="28"/>
        </w:rPr>
        <w:t xml:space="preserve"> как и в 2015 году</w:t>
      </w:r>
      <w:r w:rsidR="004C422C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остается актуальным, </w:t>
      </w:r>
      <w:r w:rsidR="006F07F7">
        <w:rPr>
          <w:sz w:val="28"/>
          <w:szCs w:val="28"/>
        </w:rPr>
        <w:t xml:space="preserve"> </w:t>
      </w:r>
      <w:r>
        <w:rPr>
          <w:sz w:val="28"/>
          <w:szCs w:val="28"/>
        </w:rPr>
        <w:t>поскольку во многих муниц</w:t>
      </w:r>
      <w:r w:rsidR="006F07F7">
        <w:rPr>
          <w:sz w:val="28"/>
          <w:szCs w:val="28"/>
        </w:rPr>
        <w:t xml:space="preserve">ипалитетах данную меру поддержки </w:t>
      </w:r>
      <w:r>
        <w:rPr>
          <w:sz w:val="28"/>
          <w:szCs w:val="28"/>
        </w:rPr>
        <w:t xml:space="preserve"> педагогических работников исключили </w:t>
      </w:r>
      <w:r w:rsidR="006F07F7">
        <w:rPr>
          <w:sz w:val="28"/>
          <w:szCs w:val="28"/>
        </w:rPr>
        <w:t xml:space="preserve">или рассматривается вопрос об её </w:t>
      </w:r>
      <w:r>
        <w:rPr>
          <w:sz w:val="28"/>
          <w:szCs w:val="28"/>
        </w:rPr>
        <w:t xml:space="preserve"> исключении. </w:t>
      </w:r>
      <w:proofErr w:type="gramEnd"/>
    </w:p>
    <w:p w:rsidR="00533A2F" w:rsidRPr="00533A2F" w:rsidRDefault="00533A2F" w:rsidP="00521257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Отмена дополнительной меры социальной поддержки работников муниципальных образовательных организаций по выплате единовременного вознаграждения при выходе на пе</w:t>
      </w:r>
      <w:r>
        <w:rPr>
          <w:sz w:val="28"/>
          <w:szCs w:val="28"/>
        </w:rPr>
        <w:t>нсию существенным образом ухудшает</w:t>
      </w:r>
      <w:r w:rsidR="00DA59A0">
        <w:rPr>
          <w:sz w:val="28"/>
          <w:szCs w:val="28"/>
        </w:rPr>
        <w:t xml:space="preserve"> </w:t>
      </w:r>
      <w:r w:rsidRPr="00533A2F">
        <w:rPr>
          <w:sz w:val="28"/>
          <w:szCs w:val="28"/>
        </w:rPr>
        <w:t xml:space="preserve"> правовое положение работников образования пенсионного и </w:t>
      </w:r>
      <w:proofErr w:type="spellStart"/>
      <w:r w:rsidRPr="00533A2F">
        <w:rPr>
          <w:sz w:val="28"/>
          <w:szCs w:val="28"/>
        </w:rPr>
        <w:t>предпенсионного</w:t>
      </w:r>
      <w:proofErr w:type="spellEnd"/>
      <w:r w:rsidRPr="00533A2F">
        <w:rPr>
          <w:sz w:val="28"/>
          <w:szCs w:val="28"/>
        </w:rPr>
        <w:t xml:space="preserve"> возраста.</w:t>
      </w:r>
    </w:p>
    <w:p w:rsidR="00533A2F" w:rsidRPr="00533A2F" w:rsidRDefault="00533A2F" w:rsidP="00521257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Во-</w:t>
      </w:r>
      <w:r>
        <w:rPr>
          <w:sz w:val="28"/>
          <w:szCs w:val="28"/>
        </w:rPr>
        <w:t>первых</w:t>
      </w:r>
      <w:r w:rsidRPr="00533A2F">
        <w:rPr>
          <w:sz w:val="28"/>
          <w:szCs w:val="28"/>
        </w:rPr>
        <w:t xml:space="preserve">, </w:t>
      </w:r>
      <w:r>
        <w:rPr>
          <w:sz w:val="28"/>
          <w:szCs w:val="28"/>
        </w:rPr>
        <w:t>часть работников,</w:t>
      </w:r>
      <w:r w:rsidRPr="00533A2F">
        <w:rPr>
          <w:sz w:val="28"/>
          <w:szCs w:val="28"/>
        </w:rPr>
        <w:t xml:space="preserve"> которым до выхода на пенсию осталось, например, от одного года до трех лет, </w:t>
      </w:r>
      <w:r>
        <w:rPr>
          <w:sz w:val="28"/>
          <w:szCs w:val="28"/>
        </w:rPr>
        <w:t xml:space="preserve">уже потеряли в некоторых муниципалитета или </w:t>
      </w:r>
      <w:r w:rsidRPr="00533A2F">
        <w:rPr>
          <w:sz w:val="28"/>
          <w:szCs w:val="28"/>
        </w:rPr>
        <w:t xml:space="preserve">потеряют право воспользоваться такой мерой социальной поддержки, тем самым у граждан теряется вера в стабильность прав, гарантируемых законодательством, особенно в части социальной защищенности. </w:t>
      </w:r>
    </w:p>
    <w:p w:rsidR="00533A2F" w:rsidRDefault="00533A2F" w:rsidP="00521257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В-</w:t>
      </w:r>
      <w:r>
        <w:rPr>
          <w:sz w:val="28"/>
          <w:szCs w:val="28"/>
        </w:rPr>
        <w:t>вторых</w:t>
      </w:r>
      <w:r w:rsidRPr="00533A2F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только информация о том, что данная мера социальной поддержки может </w:t>
      </w:r>
      <w:proofErr w:type="gramStart"/>
      <w:r>
        <w:rPr>
          <w:sz w:val="28"/>
          <w:szCs w:val="28"/>
        </w:rPr>
        <w:t>быть исключена из закона автономного округа для государственных образовательных организаций уже послужил</w:t>
      </w:r>
      <w:r w:rsidR="00290B70">
        <w:rPr>
          <w:sz w:val="28"/>
          <w:szCs w:val="28"/>
        </w:rPr>
        <w:t>а</w:t>
      </w:r>
      <w:proofErr w:type="gramEnd"/>
      <w:r w:rsidR="00290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основанием для некоторых муниципалитетов исключить данную меру социальной поддержки для работников муниципальных образовательных организаций, а в некоторых </w:t>
      </w:r>
      <w:r w:rsidR="00D333F8">
        <w:rPr>
          <w:sz w:val="28"/>
          <w:szCs w:val="28"/>
        </w:rPr>
        <w:t xml:space="preserve"> -  </w:t>
      </w:r>
      <w:r>
        <w:rPr>
          <w:sz w:val="28"/>
          <w:szCs w:val="28"/>
        </w:rPr>
        <w:t>вынести на повестку вопрос об исключении.</w:t>
      </w:r>
    </w:p>
    <w:p w:rsidR="00533A2F" w:rsidRPr="00533A2F" w:rsidRDefault="00533A2F" w:rsidP="00521257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533A2F">
        <w:rPr>
          <w:sz w:val="28"/>
          <w:szCs w:val="28"/>
        </w:rPr>
        <w:t>В-</w:t>
      </w:r>
      <w:r>
        <w:rPr>
          <w:sz w:val="28"/>
          <w:szCs w:val="28"/>
        </w:rPr>
        <w:t>третьих</w:t>
      </w:r>
      <w:r w:rsidRPr="00533A2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при решении данного вопроса </w:t>
      </w:r>
      <w:r w:rsidRPr="00533A2F">
        <w:rPr>
          <w:sz w:val="28"/>
          <w:szCs w:val="28"/>
        </w:rPr>
        <w:t>необходимо учитывать социальную ориентированность и целевую направленность единовременной выплаты при выходе на пенсию, а именно</w:t>
      </w:r>
      <w:r w:rsidR="00E32BB5">
        <w:rPr>
          <w:sz w:val="28"/>
          <w:szCs w:val="28"/>
        </w:rPr>
        <w:t xml:space="preserve">, </w:t>
      </w:r>
      <w:r w:rsidRPr="00533A2F">
        <w:rPr>
          <w:sz w:val="28"/>
          <w:szCs w:val="28"/>
        </w:rPr>
        <w:t xml:space="preserve"> ее предназначение - это признание заслуг работников образования, отдавших большую часть своей трудовой жизни на благо развития образования в автономном округе, а также некоторая поддержка работника и содействие его адаптации в новых жизненных условиях  после его выхода на пенсию в связи</w:t>
      </w:r>
      <w:proofErr w:type="gramEnd"/>
      <w:r w:rsidRPr="00533A2F">
        <w:rPr>
          <w:sz w:val="28"/>
          <w:szCs w:val="28"/>
        </w:rPr>
        <w:t xml:space="preserve"> с резким падением ежемесячных доходов.  Отмену такой выплаты в целом не может компенсировать незначительное увеличение заработной платы работающих граждан в случае отмены такой меры, тем более</w:t>
      </w:r>
      <w:r w:rsidR="00E32BB5">
        <w:rPr>
          <w:sz w:val="28"/>
          <w:szCs w:val="28"/>
        </w:rPr>
        <w:t xml:space="preserve">, </w:t>
      </w:r>
      <w:r w:rsidRPr="00533A2F">
        <w:rPr>
          <w:sz w:val="28"/>
          <w:szCs w:val="28"/>
        </w:rPr>
        <w:t xml:space="preserve"> работников </w:t>
      </w:r>
      <w:proofErr w:type="spellStart"/>
      <w:r w:rsidRPr="00533A2F">
        <w:rPr>
          <w:sz w:val="28"/>
          <w:szCs w:val="28"/>
        </w:rPr>
        <w:t>предпенсионного</w:t>
      </w:r>
      <w:proofErr w:type="spellEnd"/>
      <w:r w:rsidRPr="00533A2F">
        <w:rPr>
          <w:sz w:val="28"/>
          <w:szCs w:val="28"/>
        </w:rPr>
        <w:t xml:space="preserve"> возраста в силу того, что они</w:t>
      </w:r>
      <w:r w:rsidR="008501F6">
        <w:rPr>
          <w:sz w:val="28"/>
          <w:szCs w:val="28"/>
        </w:rPr>
        <w:t xml:space="preserve">  </w:t>
      </w:r>
      <w:r w:rsidRPr="00533A2F">
        <w:rPr>
          <w:sz w:val="28"/>
          <w:szCs w:val="28"/>
        </w:rPr>
        <w:t xml:space="preserve">не смогут «накопить» или иным образом обеспечить себе достойный финансовый уровень жизни в старости.  </w:t>
      </w:r>
    </w:p>
    <w:p w:rsidR="00533A2F" w:rsidRPr="00533A2F" w:rsidRDefault="00533A2F" w:rsidP="00521257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Оказание мер социальной поддержки работникам образования и педагогическим работникам</w:t>
      </w:r>
      <w:r w:rsidR="00F96BD5">
        <w:rPr>
          <w:sz w:val="28"/>
          <w:szCs w:val="28"/>
        </w:rPr>
        <w:t>,</w:t>
      </w:r>
      <w:r w:rsidRPr="00533A2F">
        <w:rPr>
          <w:sz w:val="28"/>
          <w:szCs w:val="28"/>
        </w:rPr>
        <w:t xml:space="preserve"> в частности, </w:t>
      </w:r>
      <w:r w:rsidR="00F96BD5">
        <w:rPr>
          <w:sz w:val="28"/>
          <w:szCs w:val="28"/>
        </w:rPr>
        <w:t xml:space="preserve">за которыми  признаётся </w:t>
      </w:r>
      <w:r w:rsidRPr="00533A2F">
        <w:rPr>
          <w:sz w:val="28"/>
          <w:szCs w:val="28"/>
        </w:rPr>
        <w:t xml:space="preserve"> значимость и</w:t>
      </w:r>
      <w:r w:rsidR="00E45933">
        <w:rPr>
          <w:sz w:val="28"/>
          <w:szCs w:val="28"/>
        </w:rPr>
        <w:t xml:space="preserve"> вклад в развитие образования </w:t>
      </w:r>
      <w:r w:rsidRPr="00533A2F">
        <w:rPr>
          <w:sz w:val="28"/>
          <w:szCs w:val="28"/>
        </w:rPr>
        <w:t>стран</w:t>
      </w:r>
      <w:r w:rsidR="00E45933">
        <w:rPr>
          <w:sz w:val="28"/>
          <w:szCs w:val="28"/>
        </w:rPr>
        <w:t>ы</w:t>
      </w:r>
      <w:r w:rsidRPr="00533A2F">
        <w:rPr>
          <w:sz w:val="28"/>
          <w:szCs w:val="28"/>
        </w:rPr>
        <w:t xml:space="preserve">, в полной мере вытекает и соответствует особому статусу педагогических работников, провозглашенному в Федеральном законе «Об образовании в Российской Федерации». </w:t>
      </w:r>
    </w:p>
    <w:p w:rsidR="00533A2F" w:rsidRDefault="00533A2F" w:rsidP="00521257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В-</w:t>
      </w:r>
      <w:r>
        <w:rPr>
          <w:sz w:val="28"/>
          <w:szCs w:val="28"/>
        </w:rPr>
        <w:t>четвертых</w:t>
      </w:r>
      <w:r w:rsidRPr="00533A2F">
        <w:rPr>
          <w:sz w:val="28"/>
          <w:szCs w:val="28"/>
        </w:rPr>
        <w:t>: нельзя не принимать во внимание результаты общественного контроля по отмене данной меры социальной поддержки, проведенного на сайте http://ugra2030.admhmao.</w:t>
      </w:r>
      <w:r w:rsidR="008D6E9F">
        <w:rPr>
          <w:sz w:val="28"/>
          <w:szCs w:val="28"/>
        </w:rPr>
        <w:t xml:space="preserve">ru/control/currents/, итоги </w:t>
      </w:r>
      <w:r w:rsidRPr="00533A2F">
        <w:rPr>
          <w:sz w:val="28"/>
          <w:szCs w:val="28"/>
        </w:rPr>
        <w:t xml:space="preserve"> которого показывают, что практически 100% граждан, принявших участие в обсуждени</w:t>
      </w:r>
      <w:r w:rsidR="008D6E9F">
        <w:rPr>
          <w:sz w:val="28"/>
          <w:szCs w:val="28"/>
        </w:rPr>
        <w:t>и</w:t>
      </w:r>
      <w:r w:rsidRPr="00533A2F">
        <w:rPr>
          <w:sz w:val="28"/>
          <w:szCs w:val="28"/>
        </w:rPr>
        <w:t>, против отмены такой меры социальной поддержки.</w:t>
      </w:r>
    </w:p>
    <w:p w:rsidR="00E3294C" w:rsidRDefault="00E3294C" w:rsidP="00521257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 необходимым решение</w:t>
      </w:r>
      <w:r w:rsidR="00533A2F">
        <w:rPr>
          <w:sz w:val="28"/>
          <w:szCs w:val="28"/>
        </w:rPr>
        <w:t xml:space="preserve"> вопроса о составе</w:t>
      </w:r>
      <w:r>
        <w:rPr>
          <w:sz w:val="28"/>
          <w:szCs w:val="28"/>
        </w:rPr>
        <w:t xml:space="preserve"> и структуре</w:t>
      </w:r>
      <w:r w:rsidR="00533A2F">
        <w:rPr>
          <w:sz w:val="28"/>
          <w:szCs w:val="28"/>
        </w:rPr>
        <w:t xml:space="preserve"> минимального размера заработной платы</w:t>
      </w:r>
      <w:r>
        <w:rPr>
          <w:sz w:val="28"/>
          <w:szCs w:val="28"/>
        </w:rPr>
        <w:t>, который</w:t>
      </w:r>
      <w:r w:rsidR="00533A2F">
        <w:rPr>
          <w:sz w:val="28"/>
          <w:szCs w:val="28"/>
        </w:rPr>
        <w:t xml:space="preserve"> </w:t>
      </w:r>
      <w:r w:rsidRPr="00E3294C">
        <w:rPr>
          <w:sz w:val="28"/>
          <w:szCs w:val="28"/>
        </w:rPr>
        <w:t xml:space="preserve">установлен Трехсторонним соглашением «О минимальном размере заработной платы в Ханты-Мансийском </w:t>
      </w:r>
      <w:r w:rsidRPr="00E3294C">
        <w:rPr>
          <w:sz w:val="28"/>
          <w:szCs w:val="28"/>
        </w:rPr>
        <w:lastRenderedPageBreak/>
        <w:t>автономном округе – Югре» от 22.11.2013 года</w:t>
      </w:r>
      <w:r>
        <w:rPr>
          <w:sz w:val="28"/>
          <w:szCs w:val="28"/>
        </w:rPr>
        <w:t xml:space="preserve">. Со </w:t>
      </w:r>
      <w:proofErr w:type="gramStart"/>
      <w:r>
        <w:rPr>
          <w:sz w:val="28"/>
          <w:szCs w:val="28"/>
        </w:rPr>
        <w:t>свой</w:t>
      </w:r>
      <w:proofErr w:type="gramEnd"/>
      <w:r>
        <w:rPr>
          <w:sz w:val="28"/>
          <w:szCs w:val="28"/>
        </w:rPr>
        <w:t xml:space="preserve"> стороны</w:t>
      </w:r>
      <w:r w:rsidR="006871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87162">
        <w:rPr>
          <w:sz w:val="28"/>
          <w:szCs w:val="28"/>
        </w:rPr>
        <w:t xml:space="preserve"> Ханты-Мансийская </w:t>
      </w:r>
      <w:r>
        <w:rPr>
          <w:sz w:val="28"/>
          <w:szCs w:val="28"/>
        </w:rPr>
        <w:t>окружная организация Профсоюза образования уже предпринимает мероприятия по данному вопрос</w:t>
      </w:r>
      <w:r w:rsidR="00687162">
        <w:rPr>
          <w:sz w:val="28"/>
          <w:szCs w:val="28"/>
        </w:rPr>
        <w:t>у</w:t>
      </w:r>
      <w:r>
        <w:rPr>
          <w:sz w:val="28"/>
          <w:szCs w:val="28"/>
        </w:rPr>
        <w:t xml:space="preserve"> и надеется на поддержку депутатов окружной Думы.</w:t>
      </w:r>
    </w:p>
    <w:p w:rsidR="00E3294C" w:rsidRDefault="00E3294C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Статьей </w:t>
      </w:r>
      <w:r w:rsidR="00533A2F" w:rsidRPr="00533A2F">
        <w:rPr>
          <w:sz w:val="28"/>
          <w:szCs w:val="28"/>
        </w:rPr>
        <w:t>133.1 ТК РФ предусмотрено, что размер минимальной заработной платы в субъекте Российской Федерации устанавливается с учетом социально-экономических условий и величины прожиточного минимума трудоспособного населения в соответствующем субъекте Российской Федерации, а месячная заработная плата работника, работающего на территории соответствующего субъекта Российской Федерации и состоящего в трудовых отношениях с работодателем, в отношении которого региональное соглашение о минимальной заработной плате действует в</w:t>
      </w:r>
      <w:proofErr w:type="gramEnd"/>
      <w:r w:rsidR="00533A2F" w:rsidRPr="00533A2F">
        <w:rPr>
          <w:sz w:val="28"/>
          <w:szCs w:val="28"/>
        </w:rPr>
        <w:t xml:space="preserve"> </w:t>
      </w:r>
      <w:proofErr w:type="gramStart"/>
      <w:r w:rsidR="00533A2F" w:rsidRPr="00533A2F">
        <w:rPr>
          <w:sz w:val="28"/>
          <w:szCs w:val="28"/>
        </w:rPr>
        <w:t xml:space="preserve">соответствии с частями третьей и четвертой статьи 48 </w:t>
      </w:r>
      <w:r>
        <w:rPr>
          <w:sz w:val="28"/>
          <w:szCs w:val="28"/>
        </w:rPr>
        <w:t>ТК РФ</w:t>
      </w:r>
      <w:r w:rsidR="00533A2F" w:rsidRPr="00533A2F">
        <w:rPr>
          <w:sz w:val="28"/>
          <w:szCs w:val="28"/>
        </w:rPr>
        <w:t xml:space="preserve"> или на которого указанное соглашение распространено в порядке, установленном частями шестой - восьмой </w:t>
      </w:r>
      <w:r>
        <w:rPr>
          <w:sz w:val="28"/>
          <w:szCs w:val="28"/>
        </w:rPr>
        <w:t>данной</w:t>
      </w:r>
      <w:r w:rsidR="00533A2F" w:rsidRPr="00533A2F">
        <w:rPr>
          <w:sz w:val="28"/>
          <w:szCs w:val="28"/>
        </w:rPr>
        <w:t xml:space="preserve"> статьи, не может быть ниже размера минимальной заработной платы в этом субъекте Российской Федерации при условии,</w:t>
      </w:r>
      <w:r w:rsidR="002679DF">
        <w:rPr>
          <w:sz w:val="28"/>
          <w:szCs w:val="28"/>
        </w:rPr>
        <w:t xml:space="preserve"> </w:t>
      </w:r>
      <w:r w:rsidR="00533A2F" w:rsidRPr="00533A2F">
        <w:rPr>
          <w:sz w:val="28"/>
          <w:szCs w:val="28"/>
        </w:rPr>
        <w:t xml:space="preserve"> что указанным работником полностью отработана за этот период норма рабочего времени и выполнены нормы труда (трудовые обязанности).</w:t>
      </w:r>
      <w:proofErr w:type="gramEnd"/>
    </w:p>
    <w:p w:rsidR="00E3294C" w:rsidRDefault="00533A2F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 xml:space="preserve">В связи с этим считаем, что региональным соглашением об установлении минимальной заработной платы необходимо предусмотреть, какие выплачиваемые работникам суммы входят в состав минимальной </w:t>
      </w:r>
      <w:r w:rsidR="00E3294C">
        <w:rPr>
          <w:sz w:val="28"/>
          <w:szCs w:val="28"/>
        </w:rPr>
        <w:t xml:space="preserve">заработной платы, а какие нет. </w:t>
      </w:r>
    </w:p>
    <w:p w:rsidR="00533A2F" w:rsidRPr="00533A2F" w:rsidRDefault="00533A2F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 xml:space="preserve">Например, размер минимальной заработной платы </w:t>
      </w:r>
      <w:r w:rsidR="00F64D81">
        <w:rPr>
          <w:sz w:val="28"/>
          <w:szCs w:val="28"/>
        </w:rPr>
        <w:t>включает</w:t>
      </w:r>
      <w:r w:rsidRPr="00533A2F">
        <w:rPr>
          <w:sz w:val="28"/>
          <w:szCs w:val="28"/>
        </w:rPr>
        <w:t xml:space="preserve"> тарифную ставку (оклад) или оплату труда по бестарифной системе, а также доплаты, надбавки, премии и другие выплаты, за исключением выплат, производимых в соответствии со следующими статьями ТК РФ:</w:t>
      </w:r>
    </w:p>
    <w:p w:rsidR="00533A2F" w:rsidRPr="00533A2F" w:rsidRDefault="00533A2F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- 147 "Оплата труда работников, занятых на работах с вредными и (или) опасными условиями труда";</w:t>
      </w:r>
    </w:p>
    <w:p w:rsidR="00533A2F" w:rsidRPr="00533A2F" w:rsidRDefault="00533A2F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- 151 "Оплата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договором";</w:t>
      </w:r>
    </w:p>
    <w:p w:rsidR="00533A2F" w:rsidRPr="00533A2F" w:rsidRDefault="00533A2F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- 152 "Оплата сверхурочной работы";</w:t>
      </w:r>
    </w:p>
    <w:p w:rsidR="00533A2F" w:rsidRPr="00533A2F" w:rsidRDefault="00533A2F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- 153 "Оплата труда в выходные и нерабочие праздничные дни";</w:t>
      </w:r>
    </w:p>
    <w:p w:rsidR="00E3294C" w:rsidRDefault="00533A2F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3A2F">
        <w:rPr>
          <w:sz w:val="28"/>
          <w:szCs w:val="28"/>
        </w:rPr>
        <w:t>- 154</w:t>
      </w:r>
      <w:r w:rsidR="00E3294C">
        <w:rPr>
          <w:sz w:val="28"/>
          <w:szCs w:val="28"/>
        </w:rPr>
        <w:t xml:space="preserve"> "Оплата труда в ночное время".</w:t>
      </w:r>
    </w:p>
    <w:p w:rsidR="00533A2F" w:rsidRPr="00533A2F" w:rsidRDefault="00533A2F" w:rsidP="0052125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533A2F">
        <w:rPr>
          <w:sz w:val="28"/>
          <w:szCs w:val="28"/>
        </w:rPr>
        <w:t>В Югре неоднократно встречаются случаи, когда работодатели для обеспечения выплаты работнику установленного уровн</w:t>
      </w:r>
      <w:r w:rsidR="00D264A0">
        <w:rPr>
          <w:sz w:val="28"/>
          <w:szCs w:val="28"/>
        </w:rPr>
        <w:t xml:space="preserve">я минимальной заработной платы  </w:t>
      </w:r>
      <w:r w:rsidRPr="00533A2F">
        <w:rPr>
          <w:sz w:val="28"/>
          <w:szCs w:val="28"/>
        </w:rPr>
        <w:t>идут на нарушение прав работников путем увеличения месячных норм рабочего времени и норм труда (трудовых обязанностей), в том числе</w:t>
      </w:r>
      <w:r w:rsidR="00D264A0">
        <w:rPr>
          <w:sz w:val="28"/>
          <w:szCs w:val="28"/>
        </w:rPr>
        <w:t xml:space="preserve">, </w:t>
      </w:r>
      <w:r w:rsidRPr="00533A2F">
        <w:rPr>
          <w:sz w:val="28"/>
          <w:szCs w:val="28"/>
        </w:rPr>
        <w:t xml:space="preserve"> путем увеличения объёма работ, расширения зон ответственности, привлечения к сверхурочным работам, совмещения должностей и так далее.</w:t>
      </w:r>
      <w:proofErr w:type="gramEnd"/>
    </w:p>
    <w:p w:rsidR="00533A2F" w:rsidRDefault="00533A2F" w:rsidP="00521257">
      <w:pPr>
        <w:tabs>
          <w:tab w:val="left" w:pos="993"/>
        </w:tabs>
        <w:jc w:val="both"/>
        <w:rPr>
          <w:sz w:val="28"/>
          <w:szCs w:val="28"/>
        </w:rPr>
      </w:pPr>
    </w:p>
    <w:p w:rsidR="00CA70D2" w:rsidRDefault="00E3294C" w:rsidP="0052125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F64D81">
        <w:rPr>
          <w:sz w:val="28"/>
          <w:szCs w:val="28"/>
        </w:rPr>
        <w:tab/>
        <w:t xml:space="preserve">       </w:t>
      </w:r>
      <w:r w:rsidR="00F64D81">
        <w:rPr>
          <w:sz w:val="28"/>
          <w:szCs w:val="28"/>
        </w:rPr>
        <w:tab/>
        <w:t xml:space="preserve">   </w:t>
      </w:r>
      <w:r w:rsidR="00F64D81">
        <w:rPr>
          <w:sz w:val="28"/>
          <w:szCs w:val="28"/>
        </w:rPr>
        <w:tab/>
      </w:r>
      <w:r w:rsidR="00D603CF">
        <w:rPr>
          <w:sz w:val="28"/>
          <w:szCs w:val="28"/>
        </w:rPr>
        <w:tab/>
      </w:r>
      <w:r w:rsidR="00CA70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="0052125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Л.Ф. Болдырева</w:t>
      </w:r>
    </w:p>
    <w:p w:rsidR="004B1705" w:rsidRDefault="004B1705" w:rsidP="004B1705">
      <w:pPr>
        <w:jc w:val="center"/>
        <w:rPr>
          <w:sz w:val="28"/>
          <w:szCs w:val="28"/>
        </w:rPr>
      </w:pPr>
    </w:p>
    <w:p w:rsidR="00E3294C" w:rsidRDefault="00E3294C" w:rsidP="00CA70D2">
      <w:pPr>
        <w:jc w:val="both"/>
        <w:rPr>
          <w:sz w:val="22"/>
          <w:szCs w:val="22"/>
        </w:rPr>
      </w:pPr>
    </w:p>
    <w:p w:rsidR="00291EFA" w:rsidRDefault="00291EFA" w:rsidP="00CA70D2">
      <w:pPr>
        <w:jc w:val="both"/>
        <w:rPr>
          <w:sz w:val="22"/>
          <w:szCs w:val="22"/>
        </w:rPr>
      </w:pPr>
      <w:r>
        <w:rPr>
          <w:sz w:val="22"/>
          <w:szCs w:val="22"/>
        </w:rPr>
        <w:t>Исп.:</w:t>
      </w:r>
    </w:p>
    <w:p w:rsidR="00291EFA" w:rsidRDefault="00291EFA" w:rsidP="00CA70D2">
      <w:pPr>
        <w:jc w:val="both"/>
        <w:rPr>
          <w:sz w:val="22"/>
          <w:szCs w:val="22"/>
        </w:rPr>
      </w:pPr>
      <w:r>
        <w:rPr>
          <w:sz w:val="22"/>
          <w:szCs w:val="22"/>
        </w:rPr>
        <w:t>Мясников Сергей Юрьевич</w:t>
      </w:r>
    </w:p>
    <w:p w:rsidR="00947820" w:rsidRDefault="00291EFA" w:rsidP="00F64D81">
      <w:pPr>
        <w:jc w:val="both"/>
      </w:pPr>
      <w:r>
        <w:rPr>
          <w:sz w:val="22"/>
          <w:szCs w:val="22"/>
        </w:rPr>
        <w:t>8 (3467) 369-330</w:t>
      </w:r>
    </w:p>
    <w:sectPr w:rsidR="00947820" w:rsidSect="00521257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F3A64B9"/>
    <w:multiLevelType w:val="hybridMultilevel"/>
    <w:tmpl w:val="9C76F300"/>
    <w:lvl w:ilvl="0" w:tplc="D33AE5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0D2"/>
    <w:rsid w:val="0001784D"/>
    <w:rsid w:val="00053C42"/>
    <w:rsid w:val="00060768"/>
    <w:rsid w:val="000C3476"/>
    <w:rsid w:val="000F5B59"/>
    <w:rsid w:val="001152D2"/>
    <w:rsid w:val="001A19C6"/>
    <w:rsid w:val="001C475F"/>
    <w:rsid w:val="00226DCF"/>
    <w:rsid w:val="00250929"/>
    <w:rsid w:val="002679DF"/>
    <w:rsid w:val="00290B70"/>
    <w:rsid w:val="00291EFA"/>
    <w:rsid w:val="003B000C"/>
    <w:rsid w:val="004B1705"/>
    <w:rsid w:val="004B6836"/>
    <w:rsid w:val="004C422C"/>
    <w:rsid w:val="00521257"/>
    <w:rsid w:val="00533A2F"/>
    <w:rsid w:val="005644DC"/>
    <w:rsid w:val="00601A21"/>
    <w:rsid w:val="00650891"/>
    <w:rsid w:val="00673341"/>
    <w:rsid w:val="00687162"/>
    <w:rsid w:val="006E2B2B"/>
    <w:rsid w:val="006F07F7"/>
    <w:rsid w:val="00702EBB"/>
    <w:rsid w:val="007F06E3"/>
    <w:rsid w:val="00807762"/>
    <w:rsid w:val="008467BE"/>
    <w:rsid w:val="008501F6"/>
    <w:rsid w:val="00881D72"/>
    <w:rsid w:val="00881ECA"/>
    <w:rsid w:val="0089003B"/>
    <w:rsid w:val="008D6E9F"/>
    <w:rsid w:val="00947820"/>
    <w:rsid w:val="009C61A1"/>
    <w:rsid w:val="00A17523"/>
    <w:rsid w:val="00B26937"/>
    <w:rsid w:val="00C67D1E"/>
    <w:rsid w:val="00CA70D2"/>
    <w:rsid w:val="00D264A0"/>
    <w:rsid w:val="00D333F8"/>
    <w:rsid w:val="00D603CF"/>
    <w:rsid w:val="00D83840"/>
    <w:rsid w:val="00DA59A0"/>
    <w:rsid w:val="00E1200E"/>
    <w:rsid w:val="00E3294C"/>
    <w:rsid w:val="00E32BB5"/>
    <w:rsid w:val="00E45933"/>
    <w:rsid w:val="00E56275"/>
    <w:rsid w:val="00EA2E93"/>
    <w:rsid w:val="00EB558B"/>
    <w:rsid w:val="00EF0A96"/>
    <w:rsid w:val="00F64D81"/>
    <w:rsid w:val="00F96BD5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0D2"/>
    <w:rPr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601A21"/>
    <w:pPr>
      <w:keepNext/>
      <w:suppressAutoHyphens/>
      <w:spacing w:line="100" w:lineRule="atLeast"/>
      <w:jc w:val="center"/>
      <w:outlineLvl w:val="0"/>
    </w:pPr>
    <w:rPr>
      <w:b/>
      <w:kern w:val="1"/>
      <w:sz w:val="22"/>
      <w:szCs w:val="20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01A21"/>
    <w:rPr>
      <w:b/>
      <w:kern w:val="1"/>
      <w:sz w:val="22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601A21"/>
    <w:pPr>
      <w:suppressAutoHyphens/>
      <w:spacing w:after="120" w:line="100" w:lineRule="atLeast"/>
    </w:pPr>
    <w:rPr>
      <w:rFonts w:cs="Mangal"/>
      <w:kern w:val="1"/>
      <w:sz w:val="20"/>
      <w:szCs w:val="18"/>
      <w:lang w:eastAsia="hi-I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601A21"/>
    <w:rPr>
      <w:rFonts w:cs="Mangal"/>
      <w:kern w:val="1"/>
      <w:szCs w:val="18"/>
      <w:lang w:eastAsia="hi-IN" w:bidi="hi-IN"/>
    </w:rPr>
  </w:style>
  <w:style w:type="character" w:customStyle="1" w:styleId="val">
    <w:name w:val="val"/>
    <w:basedOn w:val="a1"/>
    <w:rsid w:val="00CA70D2"/>
  </w:style>
  <w:style w:type="paragraph" w:styleId="a5">
    <w:name w:val="Balloon Text"/>
    <w:basedOn w:val="a"/>
    <w:link w:val="a6"/>
    <w:uiPriority w:val="99"/>
    <w:semiHidden/>
    <w:unhideWhenUsed/>
    <w:rsid w:val="00CA70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A70D2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73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0D2"/>
    <w:rPr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601A21"/>
    <w:pPr>
      <w:keepNext/>
      <w:suppressAutoHyphens/>
      <w:spacing w:line="100" w:lineRule="atLeast"/>
      <w:jc w:val="center"/>
      <w:outlineLvl w:val="0"/>
    </w:pPr>
    <w:rPr>
      <w:b/>
      <w:kern w:val="1"/>
      <w:sz w:val="22"/>
      <w:szCs w:val="20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01A21"/>
    <w:rPr>
      <w:b/>
      <w:kern w:val="1"/>
      <w:sz w:val="22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601A21"/>
    <w:pPr>
      <w:suppressAutoHyphens/>
      <w:spacing w:after="120" w:line="100" w:lineRule="atLeast"/>
    </w:pPr>
    <w:rPr>
      <w:rFonts w:cs="Mangal"/>
      <w:kern w:val="1"/>
      <w:sz w:val="20"/>
      <w:szCs w:val="18"/>
      <w:lang w:eastAsia="hi-I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601A21"/>
    <w:rPr>
      <w:rFonts w:cs="Mangal"/>
      <w:kern w:val="1"/>
      <w:szCs w:val="18"/>
      <w:lang w:eastAsia="hi-IN" w:bidi="hi-IN"/>
    </w:rPr>
  </w:style>
  <w:style w:type="character" w:customStyle="1" w:styleId="val">
    <w:name w:val="val"/>
    <w:basedOn w:val="a1"/>
    <w:rsid w:val="00CA70D2"/>
  </w:style>
  <w:style w:type="paragraph" w:styleId="a5">
    <w:name w:val="Balloon Text"/>
    <w:basedOn w:val="a"/>
    <w:link w:val="a6"/>
    <w:uiPriority w:val="99"/>
    <w:semiHidden/>
    <w:unhideWhenUsed/>
    <w:rsid w:val="00CA70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A70D2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73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НьюКом</dc:creator>
  <cp:lastModifiedBy>SklyarovaMS</cp:lastModifiedBy>
  <cp:revision>3</cp:revision>
  <cp:lastPrinted>2016-03-30T09:24:00Z</cp:lastPrinted>
  <dcterms:created xsi:type="dcterms:W3CDTF">2016-03-30T09:24:00Z</dcterms:created>
  <dcterms:modified xsi:type="dcterms:W3CDTF">2016-03-30T09:31:00Z</dcterms:modified>
</cp:coreProperties>
</file>